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28 proc. polskich przedsiębiorczyń ma oszczędności powyżej półrocznych dochodów.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coraz bardziej świadomie zarządzają finansami – zarówno firmowymi, jak i osobistymi. Blisko połowa z nich posiada oszczędności, które dają poczucie bezpieczeństwa, a ponad połowa korzysta z kredytów i pożyczek jako narzędzia rozwoju działalności. Ponadto 85 proc. kobiet myśli o długoterminowym zabezpieczeniu przyszłości, odkładając środki na emeryturę i lokując je w dostępne instrumenty finansowe. Dane pochodzą z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3 na 4 polskie przedsiębiorczynie posiadają oszczędności,</w:t>
      </w:r>
      <w:r>
        <w:rPr>
          <w:rFonts w:ascii="calibri" w:hAnsi="calibri" w:eastAsia="calibri" w:cs="calibri"/>
          <w:sz w:val="24"/>
          <w:szCs w:val="24"/>
        </w:rPr>
        <w:t xml:space="preserve"> jak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Oszczędności, zobowiązania i zabezpieczenie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Aż 48 proc. kobiet prowadzących własną firmę deklaruje, że odłożone środki dają im poczucie bezpieczeństwa. 18 proc. posiada oszczędności w kwocie od 4-krotności do 6-krotności miesięcznych dochodów, z kolei 21 proc. dysponuje sumą od 7-krotności do 12-krotności dochodów, a w przypadku 7 proc. są to oszczędności w wartości ponad rocznych dochodów.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przedsiębiorczyń przyznaje, że nie dysponuje żadnymi oszczędnościami</w:t>
      </w:r>
      <w:r>
        <w:rPr>
          <w:rFonts w:ascii="calibri" w:hAnsi="calibri" w:eastAsia="calibri" w:cs="calibri"/>
          <w:sz w:val="24"/>
          <w:szCs w:val="24"/>
        </w:rPr>
        <w:t xml:space="preserve">. Badanie towarzyszące XVII edycji konkursu Sukces Pisany Szminką przeprowadziła Grupa 4P.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pokazują, że przedsiębiorczość kobiet w Polsce opiera się na świadomym zarządzaniu finansami i myśleniu długoterminowym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Oszczędności i odpowiedzialne podejście do zobowiązań pozwalają budować realną odporność firm i dają kobietom poczucie stabilności. To takie kompetencje chcemy wzmacniać poprzez nasze inicjatywy, pokazując, że przedsiębiorczość to nie tylko codzienne prowadzenie firmy, ale także strategiczne myślenie o finansach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ogółu badanych Polaków posiadających odłożone środki deklaruje, że zgromadzona kwota daje im poczucie bezpieczeństwa. Wyniki wskazują, że 16 proc. badanych posiada od 4-krotności do 6-krotności miesięcznych dochodów, 13 proc. ankietowanych – od 7-krotności do 12-krotności. Z kolei u 6 proc. respondentów jest to wartość ponad rocznych dochodów. Ponad ⅓ uczestników badania przyznaje, że nie dysponuje żadnymi oszczędnościami.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przedsiębiorczyń posiada zaciągnięte kredyty lub pożyczki</w:t>
      </w:r>
      <w:r>
        <w:rPr>
          <w:rFonts w:ascii="calibri" w:hAnsi="calibri" w:eastAsia="calibri" w:cs="calibri"/>
          <w:sz w:val="24"/>
          <w:szCs w:val="24"/>
        </w:rPr>
        <w:t xml:space="preserve">. Najczęściej jest to </w:t>
      </w:r>
      <w:r>
        <w:rPr>
          <w:rFonts w:ascii="calibri" w:hAnsi="calibri" w:eastAsia="calibri" w:cs="calibri"/>
          <w:sz w:val="24"/>
          <w:szCs w:val="24"/>
          <w:b/>
        </w:rPr>
        <w:t xml:space="preserve">kredyt hipoteczny</w:t>
      </w:r>
      <w:r>
        <w:rPr>
          <w:rFonts w:ascii="calibri" w:hAnsi="calibri" w:eastAsia="calibri" w:cs="calibri"/>
          <w:sz w:val="24"/>
          <w:szCs w:val="24"/>
        </w:rPr>
        <w:t xml:space="preserve"> (30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gotówkowe, samochodowe lub leasing</w:t>
      </w:r>
      <w:r>
        <w:rPr>
          <w:rFonts w:ascii="calibri" w:hAnsi="calibri" w:eastAsia="calibri" w:cs="calibri"/>
          <w:sz w:val="24"/>
          <w:szCs w:val="24"/>
        </w:rPr>
        <w:t xml:space="preserve"> (27 proc.). Z kolei 16 proc. respondentek prowadzących własną firmę deklaruje, że spłaca </w:t>
      </w:r>
      <w:r>
        <w:rPr>
          <w:rFonts w:ascii="calibri" w:hAnsi="calibri" w:eastAsia="calibri" w:cs="calibri"/>
          <w:sz w:val="24"/>
          <w:szCs w:val="24"/>
          <w:b/>
        </w:rPr>
        <w:t xml:space="preserve">zakupy na raty lub kartę kredytową </w:t>
      </w:r>
      <w:r>
        <w:rPr>
          <w:rFonts w:ascii="calibri" w:hAnsi="calibri" w:eastAsia="calibri" w:cs="calibri"/>
          <w:sz w:val="24"/>
          <w:szCs w:val="24"/>
        </w:rPr>
        <w:t xml:space="preserve">(16 proc.).</w:t>
      </w:r>
      <w:r>
        <w:rPr>
          <w:rFonts w:ascii="calibri" w:hAnsi="calibri" w:eastAsia="calibri" w:cs="calibri"/>
          <w:sz w:val="24"/>
          <w:szCs w:val="24"/>
          <w:b/>
        </w:rPr>
        <w:t xml:space="preserve"> Dług u znajomych bądź rodziny</w:t>
      </w:r>
      <w:r>
        <w:rPr>
          <w:rFonts w:ascii="calibri" w:hAnsi="calibri" w:eastAsia="calibri" w:cs="calibri"/>
          <w:sz w:val="24"/>
          <w:szCs w:val="24"/>
        </w:rPr>
        <w:t xml:space="preserve"> ma 7 proc., a </w:t>
      </w:r>
      <w:r>
        <w:rPr>
          <w:rFonts w:ascii="calibri" w:hAnsi="calibri" w:eastAsia="calibri" w:cs="calibri"/>
          <w:sz w:val="24"/>
          <w:szCs w:val="24"/>
          <w:b/>
        </w:rPr>
        <w:t xml:space="preserve">pożyczkę pozabankową</w:t>
      </w:r>
      <w:r>
        <w:rPr>
          <w:rFonts w:ascii="calibri" w:hAnsi="calibri" w:eastAsia="calibri" w:cs="calibri"/>
          <w:sz w:val="24"/>
          <w:szCs w:val="24"/>
        </w:rPr>
        <w:t xml:space="preserve"> – 1 proc. Dwie na trzy badane posiadające firmę deklarują, że zawsze spłaca posiadane zobowiązania w terminie, zgodnie z harmonogramem spłat.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 przedsiębiorczyń przyznaje, że zdarza im się spóźniać z płatnościami</w:t>
      </w:r>
      <w:r>
        <w:rPr>
          <w:rFonts w:ascii="calibri" w:hAnsi="calibri" w:eastAsia="calibri" w:cs="calibri"/>
          <w:sz w:val="24"/>
          <w:szCs w:val="24"/>
        </w:rPr>
        <w:t xml:space="preserve"> – 9 proc. wskazuje, że dzieje się to, gdy termin przypada przed wypłatą lub pojawiają się pilne bieżące wydatki, 8 proc. deklaruje, że wynika z dużej ilości obowiązków, natomiast 4 proc. przyznaje, że często spóźnia się z płatnością lub ma poważne trudności z terminową spłatą zobowiązań.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Obraz zobowiązań finansowych przedsiębiorczyń pokazuje, że kredyt i finansowanie zewnętrzne są dziś standardowym narzędziem prowadzenia biznesu, a nie sygnałem ryzyka. Kluczowe znaczenie ma nie sama skala zobowiązań, lecz sposób ich obsługi i włączania w codzienne zarządzanie finansami firmy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Król, wiceprezeska BLIKA, partnera kategorii Polka za Granicą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Tam, gdzie pojawiają się opóźnienia, decydujące okazują się często czynniki organizacyjne i presja czasu, a nie brak odpowiedzialności finansowej. Dlatego technologie, które upraszczają płatności i pomagają zachować kontrolę nad zobowiązaniami, realnie wspierają przedsiębiorczynie w utrzymaniu płynności i finansowego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85 proc. przedsiębiorczyń zabezpiecza swoją emeryturę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bieżącym zarządzaniem finansami i zobowiązaniami przedsiębiorczynie coraz częściej myślą także o długoterminowym zabezpieczeniu przyszłości. Z deklaracji respondentek wynika, że 47 proc. ankietowanych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państwowego systemu emerytalnego</w:t>
      </w:r>
      <w:r>
        <w:rPr>
          <w:rFonts w:ascii="calibri" w:hAnsi="calibri" w:eastAsia="calibri" w:cs="calibri"/>
          <w:sz w:val="24"/>
          <w:szCs w:val="24"/>
        </w:rPr>
        <w:t xml:space="preserve"> (ZUS lub KRUS). Co trzecia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lokaty lub konta oszczędnościowe</w:t>
      </w:r>
      <w:r>
        <w:rPr>
          <w:rFonts w:ascii="calibri" w:hAnsi="calibri" w:eastAsia="calibri" w:cs="calibri"/>
          <w:sz w:val="24"/>
          <w:szCs w:val="24"/>
        </w:rPr>
        <w:t xml:space="preserve">, 28 proc.</w:t>
      </w:r>
      <w:r>
        <w:rPr>
          <w:rFonts w:ascii="calibri" w:hAnsi="calibri" w:eastAsia="calibri" w:cs="calibri"/>
          <w:sz w:val="24"/>
          <w:szCs w:val="24"/>
          <w:b/>
        </w:rPr>
        <w:t xml:space="preserve"> inwestuje w nieruchomości</w:t>
      </w:r>
      <w:r>
        <w:rPr>
          <w:rFonts w:ascii="calibri" w:hAnsi="calibri" w:eastAsia="calibri" w:cs="calibri"/>
          <w:sz w:val="24"/>
          <w:szCs w:val="24"/>
        </w:rPr>
        <w:t xml:space="preserve">, a co piąta – długoterminowe akcje lub obligacje.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kont emerytalnych</w:t>
      </w:r>
      <w:r>
        <w:rPr>
          <w:rFonts w:ascii="calibri" w:hAnsi="calibri" w:eastAsia="calibri" w:cs="calibri"/>
          <w:sz w:val="24"/>
          <w:szCs w:val="24"/>
        </w:rPr>
        <w:t xml:space="preserve"> (IKE, IKZE) korzysta 19 proc. przedsiębiorczyń, a z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pracowniczych programów emerytalnych</w:t>
      </w:r>
      <w:r>
        <w:rPr>
          <w:rFonts w:ascii="calibri" w:hAnsi="calibri" w:eastAsia="calibri" w:cs="calibri"/>
          <w:sz w:val="24"/>
          <w:szCs w:val="24"/>
        </w:rPr>
        <w:t xml:space="preserve"> (PPK, PPE) – 10 proc. respondentek. Nadal jednak część ankietowanych prowadzących własną firmę nie odkłada na emeryturę – przyznaje to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przedsiębiorczyń traktuje zabezpieczenie emerytalne jako naturalny element planowania własnej przyszłości, jak i finansów swojej firmy. Umiejętność łączenia różnych form oszczędzania, inwestowania oraz korzystanie z dostępnych narzędzi finansowych to wyraźny sygnał rosnącej dojrzałości ekonomicznej Polek. Dla wielu młodych liderek nie jest to już odległy temat, lecz świadoma decyzja. W Banku BNP Paribas wierzymy, że odkładanie nie powinno być skomplikowane, ani czasochłonne. Dlatego wspieramy je rozwiązaniami oraz wiedzą, które pomagają podejmować dobre decyzje i budować bezpieczeństwo finansowe na każdym etapie życia – dziś, jak i w perspektywie kolejnych lat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Izabela Tworzydło, dyrektorka Dep. Komunikacji Korporacyjnej w Banku BNP Paribas, partner kategorii Female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2/2025-Raport.-Polki-i-przedsiebiorczosc.-Cz.-4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2026-07-22T20:18:04+02:00</dcterms:created>
  <dcterms:modified xsi:type="dcterms:W3CDTF">2026-07-22T20:18:04+02:00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