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28 proc. polskich przedsiębiorczyń ma oszczędności powyżej półrocznych dochodów. Nowe dane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Polskie przedsiębiorczynie coraz bardziej świadomie zarządzają finansami – zarówno firmowymi, jak i osobistymi. Blisko połowa z nich posiada oszczędności, które dają poczucie bezpieczeństwa, a ponad połowa korzysta z kredytów i pożyczek jako narzędzia rozwoju działalności. Ponadto 85 proc. kobiet myśli o długoterminowym zabezpieczeniu przyszłości, odkładając środki na emeryturę i lokując je w dostępne instrumenty finansowe. Dane pochodzą z raportu „Polki i przedsiębiorczość 2025”, towarzyszącego XVII edycji konkursu Sukces Pisany Szminką.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Blisko 3 na 4 polskie przedsiębiorczynie posiadają oszczędności,</w:t>
      </w:r>
      <w:r>
        <w:rPr>
          <w:rFonts w:ascii="calibri" w:hAnsi="calibri" w:eastAsia="calibri" w:cs="calibri"/>
          <w:sz w:val="24"/>
          <w:szCs w:val="24"/>
        </w:rPr>
        <w:t xml:space="preserve"> jak wynika z raportu „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Polki i przedsiębiorczość 2025: Oszczędności, zobowiązania i zabezpieczenie przyszłości</w:t>
        </w:r>
      </w:hyperlink>
      <w:r>
        <w:rPr>
          <w:rFonts w:ascii="calibri" w:hAnsi="calibri" w:eastAsia="calibri" w:cs="calibri"/>
          <w:sz w:val="24"/>
          <w:szCs w:val="24"/>
        </w:rPr>
        <w:t xml:space="preserve">”. Aż 48 proc. kobiet prowadzących własną firmę deklaruje, że odłożone środki dają im poczucie bezpieczeństwa. 18 proc. posiada oszczędności w kwocie od 4-krotności do 6-krotności miesięcznych dochodów, z kolei 21 proc. dysponuje sumą od 7-krotności do 12-krotności dochodów, a w przypadku 7 proc. są to oszczędności w wartości ponad rocznych dochodów. Aż </w:t>
      </w:r>
      <w:r>
        <w:rPr>
          <w:rFonts w:ascii="calibri" w:hAnsi="calibri" w:eastAsia="calibri" w:cs="calibri"/>
          <w:sz w:val="24"/>
          <w:szCs w:val="24"/>
          <w:b/>
        </w:rPr>
        <w:t xml:space="preserve">28 proc. przedsiębiorczyń przyznaje, że nie dysponuje żadnymi oszczędnościami</w:t>
      </w:r>
      <w:r>
        <w:rPr>
          <w:rFonts w:ascii="calibri" w:hAnsi="calibri" w:eastAsia="calibri" w:cs="calibri"/>
          <w:sz w:val="24"/>
          <w:szCs w:val="24"/>
        </w:rPr>
        <w:t xml:space="preserve">. Badanie towarzyszące XVII edycji konkursu Sukces Pisany Szminką przeprowadziła Grupa 4P.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Dane pokazują, że przedsiębiorczość kobiet w Polsce opiera się na świadomym zarządzaniu finansami i myśleniu długoterminowym</w:t>
      </w:r>
      <w:r>
        <w:rPr>
          <w:rFonts w:ascii="calibri" w:hAnsi="calibri" w:eastAsia="calibri" w:cs="calibri"/>
          <w:sz w:val="24"/>
          <w:szCs w:val="24"/>
        </w:rPr>
        <w:t xml:space="preserve"> –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Olga Kozierowska, inicjatorka konkursu Sukces Pisany Szminką</w:t>
      </w:r>
      <w:r>
        <w:rPr>
          <w:rFonts w:ascii="calibri" w:hAnsi="calibri" w:eastAsia="calibri" w:cs="calibri"/>
          <w:sz w:val="24"/>
          <w:szCs w:val="24"/>
        </w:rPr>
        <w:t xml:space="preserve">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Oszczędności i odpowiedzialne podejście do zobowiązań pozwalają budować realną odporność firm i dają kobietom poczucie stabilności. To takie kompetencje chcemy wzmacniać poprzez nasze inicjatywy, pokazując, że przedsiębiorczość to nie tylko codzienne prowadzenie firmy, ale także strategiczne myślenie o finansach na lata.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 połowa (52 proc.) ogółu badanych Polaków posiadających odłożone środki deklaruje, że zgromadzona kwota daje im poczucie bezpieczeństwa. Wyniki wskazują, że 16 proc. badanych posiada od 4-krotności do 6-krotności miesięcznych dochodów, 13 proc. ankietowanych – od 7-krotności do 12-krotności. Z kolei u 6 proc. respondentów jest to wartość ponad rocznych dochodów. Ponad ⅓ uczestników badania przyznaje, że nie dysponuje żadnymi oszczędnościami.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Ponad połowa przedsiębiorczyń posiada zaciągnięte kredyty lub pożyczki</w:t>
      </w:r>
      <w:r>
        <w:rPr>
          <w:rFonts w:ascii="calibri" w:hAnsi="calibri" w:eastAsia="calibri" w:cs="calibri"/>
          <w:sz w:val="24"/>
          <w:szCs w:val="24"/>
        </w:rPr>
        <w:t xml:space="preserve">. Najczęściej jest to </w:t>
      </w:r>
      <w:r>
        <w:rPr>
          <w:rFonts w:ascii="calibri" w:hAnsi="calibri" w:eastAsia="calibri" w:cs="calibri"/>
          <w:sz w:val="24"/>
          <w:szCs w:val="24"/>
          <w:b/>
        </w:rPr>
        <w:t xml:space="preserve">kredyt hipoteczny</w:t>
      </w:r>
      <w:r>
        <w:rPr>
          <w:rFonts w:ascii="calibri" w:hAnsi="calibri" w:eastAsia="calibri" w:cs="calibri"/>
          <w:sz w:val="24"/>
          <w:szCs w:val="24"/>
        </w:rPr>
        <w:t xml:space="preserve"> (30 proc.) oraz </w:t>
      </w:r>
      <w:r>
        <w:rPr>
          <w:rFonts w:ascii="calibri" w:hAnsi="calibri" w:eastAsia="calibri" w:cs="calibri"/>
          <w:sz w:val="24"/>
          <w:szCs w:val="24"/>
          <w:b/>
        </w:rPr>
        <w:t xml:space="preserve">kredyty gotówkowe, samochodowe lub leasing</w:t>
      </w:r>
      <w:r>
        <w:rPr>
          <w:rFonts w:ascii="calibri" w:hAnsi="calibri" w:eastAsia="calibri" w:cs="calibri"/>
          <w:sz w:val="24"/>
          <w:szCs w:val="24"/>
        </w:rPr>
        <w:t xml:space="preserve"> (27 proc.). Z kolei 16 proc. respondentek prowadzących własną firmę deklaruje, że spłaca </w:t>
      </w:r>
      <w:r>
        <w:rPr>
          <w:rFonts w:ascii="calibri" w:hAnsi="calibri" w:eastAsia="calibri" w:cs="calibri"/>
          <w:sz w:val="24"/>
          <w:szCs w:val="24"/>
          <w:b/>
        </w:rPr>
        <w:t xml:space="preserve">zakupy na raty lub kartę kredytową </w:t>
      </w:r>
      <w:r>
        <w:rPr>
          <w:rFonts w:ascii="calibri" w:hAnsi="calibri" w:eastAsia="calibri" w:cs="calibri"/>
          <w:sz w:val="24"/>
          <w:szCs w:val="24"/>
        </w:rPr>
        <w:t xml:space="preserve">(16 proc.).</w:t>
      </w:r>
      <w:r>
        <w:rPr>
          <w:rFonts w:ascii="calibri" w:hAnsi="calibri" w:eastAsia="calibri" w:cs="calibri"/>
          <w:sz w:val="24"/>
          <w:szCs w:val="24"/>
          <w:b/>
        </w:rPr>
        <w:t xml:space="preserve"> Dług u znajomych bądź rodziny</w:t>
      </w:r>
      <w:r>
        <w:rPr>
          <w:rFonts w:ascii="calibri" w:hAnsi="calibri" w:eastAsia="calibri" w:cs="calibri"/>
          <w:sz w:val="24"/>
          <w:szCs w:val="24"/>
        </w:rPr>
        <w:t xml:space="preserve"> ma 7 proc., a </w:t>
      </w:r>
      <w:r>
        <w:rPr>
          <w:rFonts w:ascii="calibri" w:hAnsi="calibri" w:eastAsia="calibri" w:cs="calibri"/>
          <w:sz w:val="24"/>
          <w:szCs w:val="24"/>
          <w:b/>
        </w:rPr>
        <w:t xml:space="preserve">pożyczkę pozabankową</w:t>
      </w:r>
      <w:r>
        <w:rPr>
          <w:rFonts w:ascii="calibri" w:hAnsi="calibri" w:eastAsia="calibri" w:cs="calibri"/>
          <w:sz w:val="24"/>
          <w:szCs w:val="24"/>
        </w:rPr>
        <w:t xml:space="preserve"> – 1 proc. Dwie na trzy badane posiadające firmę deklarują, że zawsze spłaca posiadane zobowiązania w terminie, zgodnie z harmonogramem spłat. </w:t>
      </w:r>
      <w:r>
        <w:rPr>
          <w:rFonts w:ascii="calibri" w:hAnsi="calibri" w:eastAsia="calibri" w:cs="calibri"/>
          <w:sz w:val="24"/>
          <w:szCs w:val="24"/>
          <w:b/>
        </w:rPr>
        <w:t xml:space="preserve">Ponad ⅕ przedsiębiorczyń przyznaje, że zdarza im się spóźniać z płatnościami</w:t>
      </w:r>
      <w:r>
        <w:rPr>
          <w:rFonts w:ascii="calibri" w:hAnsi="calibri" w:eastAsia="calibri" w:cs="calibri"/>
          <w:sz w:val="24"/>
          <w:szCs w:val="24"/>
        </w:rPr>
        <w:t xml:space="preserve"> – 9 proc. wskazuje, że dzieje się to, gdy termin przypada przed wypłatą lub pojawiają się pilne bieżące wydatki, 8 proc. deklaruje, że wynika z dużej ilości obowiązków, natomiast 4 proc. przyznaje, że często spóźnia się z płatnością lub ma poważne trudności z terminową spłatą zobowiązań.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Obraz zobowiązań finansowych przedsiębiorczyń pokazuje, że kredyt i finansowanie zewnętrzne są dziś standardowym narzędziem prowadzenia biznesu, a nie sygnałem ryzyka. Kluczowe znaczenie ma nie sama skala zobowiązań, lecz sposób ich obsługi i włączania w codzienne zarządzanie finansami firmy </w:t>
      </w:r>
      <w:r>
        <w:rPr>
          <w:rFonts w:ascii="calibri" w:hAnsi="calibri" w:eastAsia="calibri" w:cs="calibri"/>
          <w:sz w:val="24"/>
          <w:szCs w:val="24"/>
        </w:rPr>
        <w:t xml:space="preserve">–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Monika Król, wiceprezeska BLIKA, partnera kategorii Polka za Granicą</w:t>
      </w:r>
      <w:r>
        <w:rPr>
          <w:rFonts w:ascii="calibri" w:hAnsi="calibri" w:eastAsia="calibri" w:cs="calibri"/>
          <w:sz w:val="24"/>
          <w:szCs w:val="24"/>
        </w:rPr>
        <w:t xml:space="preserve">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Tam, gdzie pojawiają się opóźnienia, decydujące okazują się często czynniki organizacyjne i presja czasu, a nie brak odpowiedzialności finansowej. Dlatego technologie, które upraszczają płatności i pomagają zachować kontrolę nad zobowiązaniami, realnie wspierają przedsiębiorczynie w utrzymaniu płynności i finansowego spokoju.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85 proc. przedsiębiorczyń zabezpiecza swoją emeryturę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bieżącym zarządzaniem finansami i zobowiązaniami przedsiębiorczynie coraz częściej myślą także o długoterminowym zabezpieczeniu przyszłości. Z deklaracji respondentek wynika, że 47 proc. ankietowanych korzysta z </w:t>
      </w:r>
      <w:r>
        <w:rPr>
          <w:rFonts w:ascii="calibri" w:hAnsi="calibri" w:eastAsia="calibri" w:cs="calibri"/>
          <w:sz w:val="24"/>
          <w:szCs w:val="24"/>
          <w:b/>
        </w:rPr>
        <w:t xml:space="preserve">państwowego systemu emerytalnego</w:t>
      </w:r>
      <w:r>
        <w:rPr>
          <w:rFonts w:ascii="calibri" w:hAnsi="calibri" w:eastAsia="calibri" w:cs="calibri"/>
          <w:sz w:val="24"/>
          <w:szCs w:val="24"/>
        </w:rPr>
        <w:t xml:space="preserve"> (ZUS lub KRUS). Co trzecia posiada </w:t>
      </w:r>
      <w:r>
        <w:rPr>
          <w:rFonts w:ascii="calibri" w:hAnsi="calibri" w:eastAsia="calibri" w:cs="calibri"/>
          <w:sz w:val="24"/>
          <w:szCs w:val="24"/>
          <w:b/>
        </w:rPr>
        <w:t xml:space="preserve">lokaty lub konta oszczędnościowe</w:t>
      </w:r>
      <w:r>
        <w:rPr>
          <w:rFonts w:ascii="calibri" w:hAnsi="calibri" w:eastAsia="calibri" w:cs="calibri"/>
          <w:sz w:val="24"/>
          <w:szCs w:val="24"/>
        </w:rPr>
        <w:t xml:space="preserve">, 28 proc.</w:t>
      </w:r>
      <w:r>
        <w:rPr>
          <w:rFonts w:ascii="calibri" w:hAnsi="calibri" w:eastAsia="calibri" w:cs="calibri"/>
          <w:sz w:val="24"/>
          <w:szCs w:val="24"/>
          <w:b/>
        </w:rPr>
        <w:t xml:space="preserve"> inwestuje w nieruchomości</w:t>
      </w:r>
      <w:r>
        <w:rPr>
          <w:rFonts w:ascii="calibri" w:hAnsi="calibri" w:eastAsia="calibri" w:cs="calibri"/>
          <w:sz w:val="24"/>
          <w:szCs w:val="24"/>
        </w:rPr>
        <w:t xml:space="preserve">, a co piąta – długoterminowe akcje lub obligacje. Z </w:t>
      </w:r>
      <w:r>
        <w:rPr>
          <w:rFonts w:ascii="calibri" w:hAnsi="calibri" w:eastAsia="calibri" w:cs="calibri"/>
          <w:sz w:val="24"/>
          <w:szCs w:val="24"/>
          <w:b/>
        </w:rPr>
        <w:t xml:space="preserve">indywidualnych kont emerytalnych</w:t>
      </w:r>
      <w:r>
        <w:rPr>
          <w:rFonts w:ascii="calibri" w:hAnsi="calibri" w:eastAsia="calibri" w:cs="calibri"/>
          <w:sz w:val="24"/>
          <w:szCs w:val="24"/>
        </w:rPr>
        <w:t xml:space="preserve"> (IKE, IKZE) korzysta 19 proc. przedsiębiorczyń, a z</w:t>
      </w:r>
      <w:r>
        <w:rPr>
          <w:rFonts w:ascii="calibri" w:hAnsi="calibri" w:eastAsia="calibri" w:cs="calibri"/>
          <w:sz w:val="24"/>
          <w:szCs w:val="24"/>
          <w:b/>
        </w:rPr>
        <w:t xml:space="preserve"> pracowniczych programów emerytalnych</w:t>
      </w:r>
      <w:r>
        <w:rPr>
          <w:rFonts w:ascii="calibri" w:hAnsi="calibri" w:eastAsia="calibri" w:cs="calibri"/>
          <w:sz w:val="24"/>
          <w:szCs w:val="24"/>
        </w:rPr>
        <w:t xml:space="preserve"> (PPK, PPE) – 10 proc. respondentek. Nadal jednak część ankietowanych prowadzących własną firmę nie odkłada na emeryturę – przyznaje to 15 proc.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Coraz więcej przedsiębiorczyń traktuje zabezpieczenie emerytalne jako naturalny element planowania własnej przyszłości, jak i finansów swojej firmy. Umiejętność łączenia różnych form oszczędzania, inwestowania oraz korzystanie z dostępnych narzędzi finansowych to wyraźny sygnał rosnącej dojrzałości ekonomicznej Polek. Dla wielu młodych liderek nie jest to już odległy temat, lecz świadoma decyzja. W Banku BNP Paribas wierzymy, że odkładanie nie powinno być skomplikowane, ani czasochłonne. Dlatego wspieramy je rozwiązaniami oraz wiedzą, które pomagają podejmować dobre decyzje i budować bezpieczeństwo finansowe na każdym etapie życia – dziś, jak i w perspektywie kolejnych lat </w:t>
      </w:r>
      <w:r>
        <w:rPr>
          <w:rFonts w:ascii="calibri" w:hAnsi="calibri" w:eastAsia="calibri" w:cs="calibri"/>
          <w:sz w:val="24"/>
          <w:szCs w:val="24"/>
        </w:rPr>
        <w:t xml:space="preserve">– komentuje</w:t>
      </w:r>
      <w:r>
        <w:rPr>
          <w:rFonts w:ascii="calibri" w:hAnsi="calibri" w:eastAsia="calibri" w:cs="calibri"/>
          <w:sz w:val="24"/>
          <w:szCs w:val="24"/>
          <w:b/>
        </w:rPr>
        <w:t xml:space="preserve"> Izabela Tworzydło, dyrektorka Dep. Komunikacji Korporacyjnej w Banku BNP Paribas, partner kategorii Female Champion of Change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Raport „Polki i przedsiębiorczość 2025” powstał w ramach XVII edycji konkursu Sukces Pisany Szminką, najstarszej i największej inicjatywy wspierającej przedsiębiorczość kobiet, a także liderki i liderów działających na rzecz równości, różnorodności oraz włączania w Polsce.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*Badanie na zlecenie Fundacji WłączeniPlus przeprowadzone zostało w listopadzie 2025 r. przez Grupę 4P z użyciem metodologii CAWI z wykorzystaniem licencjonowanego panelu zapewniającego reprezentatywność próby pod kątem płci, wieku, wielkości miejscowości zamieszkania oraz regionu na próbie Polek prowadzących własną firmę w wieku 18-70 lat.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ukcespisanyszminka.pl/wp-content/uploads/2026/02/2025-Raport.-Polki-i-przedsiebiorczosc.-Cz.-4.pdf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2026-10-21T10:34:36+02:00</dcterms:created>
  <dcterms:modified xsi:type="dcterms:W3CDTF">2026-10-21T10:34:36+02:00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